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EXPLAINING A SAFETY-NET FINANCING TOOL</w:t>
      </w:r>
    </w:p>
    <w:p>
      <w:pPr>
        <w:pStyle w:val="Title"/>
      </w:pPr>
      <w:r>
        <w:t>The 340B Drug</w:t>
        <w:br/>
        <w:t>Discount Program</w:t>
      </w:r>
    </w:p>
    <w:p>
      <w:pPr>
        <w:pStyle w:val="Subtitle"/>
      </w:pPr>
      <w:r>
        <w:t>What it is, why it matters, and how to protect its promise</w:t>
      </w:r>
    </w:p>
    <w:p>
      <w:pPr>
        <w:pStyle w:val="Metadata"/>
      </w:pPr>
      <w:r>
        <w:t>Kelly Emrick, DHSc, PhD, MBA, BSRT(ARRT)R</w:t>
      </w:r>
    </w:p>
    <w:p>
      <w:pPr>
        <w:pStyle w:val="Metadata"/>
      </w:pPr>
      <w:r>
        <w:t>Video script and executive evidence brief  |  September 6, 2026</w:t>
      </w:r>
    </w:p>
    <w:p>
      <w:pPr/>
      <w:r>
        <w:t>340B can be an essential resource for organizations serving communities with limited access to care. Its importance rests on what participating providers can deliver with lower drug purchasing costs. Preserving that capacity and demonstrating patient benefit are complementary priorities. This brief separates the program’s mechanism, evidence of benefit, and current policy proposals.</w:t>
      </w:r>
    </w:p>
    <w:p>
      <w:pPr>
        <w:pStyle w:val="Heading2"/>
      </w:pPr>
      <w:r>
        <w:t>What the program does</w:t>
      </w:r>
    </w:p>
    <w:p>
      <w:pPr/>
      <w:r>
        <w:t>Established in 1992, 340B requires participating drug manufacturers to offer discounted covered outpatient drugs to eligible, enrolled healthcare organizations. Qualifying hospitals, federally qualified health centers, Ryan White providers, and certain other clinics can participate. Eligibility differs by category. The program is administered by the Health Resources and Services Administration, or HRSA; it is not a consumer insurance plan (HRSA, 2026a, 2026b).</w:t>
      </w:r>
    </w:p>
    <w:p>
      <w:pPr>
        <w:pStyle w:val="Heading2"/>
      </w:pPr>
      <w:r>
        <w:t>How lower purchase costs support care</w:t>
      </w:r>
    </w:p>
    <w:p>
      <w:pPr/>
      <w:r>
        <w:t>An eligible provider buys a covered drug at the 340B price. Reimbursement follows the applicable payer arrangement rather than automatically falling to that purchase price. Revenue remaining after acquisition and relevant operating costs can support care that is difficult to finance. The amount varies with payer mix, drug mix, pharmacy arrangements, and administrative costs. The discount mechanism is distinct from a direct federal grant, and purchases should not be mislabeled as savings (CBO, 2025).</w:t>
      </w:r>
    </w:p>
    <w:p>
      <w:pPr>
        <w:pStyle w:val="Heading2"/>
      </w:pPr>
      <w:r>
        <w:t>Why patients and communities care</w:t>
      </w:r>
    </w:p>
    <w:p>
      <w:pPr/>
      <w:r>
        <w:t>Resources can support medication assistance, pharmacy services, and underfunded care. Evidence of expanded services in some public hospitals and health centers makes the safety-net role credible, while differences across organizations make local accountability necessary (Owsley et al., 2024; Watts et al., 2024). A provider’s lower purchase cost does not automatically lower a patient’s copay. Eligible patients may be insured, and assistance arrangements vary (GAO, 2018, 2025).</w:t>
      </w:r>
    </w:p>
    <w:p>
      <w:pPr>
        <w:pStyle w:val="Heading1"/>
        <w:pageBreakBefore/>
        <w:spacing w:before="0"/>
      </w:pPr>
      <w:r>
        <w:t>Final narration</w:t>
      </w:r>
    </w:p>
    <w:p>
      <w:pPr>
        <w:pStyle w:val="Metadata"/>
      </w:pPr>
      <w:r>
        <w:t>Verbatim narration accompanying the video. Spoken numbers are written as pronounced.</w:t>
      </w:r>
    </w:p>
    <w:p>
      <w:pPr>
        <w:pStyle w:val="Script"/>
      </w:pPr>
      <w:r>
        <w:t>When a patient cannot afford medicine, the consequences can reach far beyond the pharmacy counter. For many safety-net hospitals and clinics, the three forty B Drug Pricing Program is an important tool for sustaining care. Here is what it does, why it matters, and why its future is in the news.</w:t>
      </w:r>
    </w:p>
    <w:p>
      <w:pPr>
        <w:pStyle w:val="Script"/>
      </w:pPr>
      <w:r>
        <w:t>Created in nineteen ninety-two, three forty B is a federal program administered by the Health Resources and Services Administration. Participating drug manufacturers provide discounted covered outpatient medicines to eligible hospitals, health centers, and other clinics. The purpose is to help these providers stretch limited resources, reach more eligible patients, and offer more comprehensive services.</w:t>
      </w:r>
    </w:p>
    <w:p>
      <w:pPr>
        <w:pStyle w:val="Script"/>
      </w:pPr>
      <w:r>
        <w:t>Here is the basic mechanism. An eligible provider acquires a covered outpatient drug at a discounted price. Insurers may still reimburse under their usual payment arrangements. The difference, after relevant costs, can help support patient care. This is a provider purchasing program. It is not health insurance, and it does not cover every hospital or every prescription.</w:t>
      </w:r>
    </w:p>
    <w:p>
      <w:pPr>
        <w:pStyle w:val="Script"/>
      </w:pPr>
      <w:r>
        <w:t>Why is it so important? Many safety-net providers care for people whose needs exceed what reimbursement can support. Three forty B resources can help fund medication assistance, pharmacy services, and other underfunded care. Research has linked participation to expanded services in some public hospitals and community health centers. Benefits vary across organizations, so local results matter.</w:t>
      </w:r>
    </w:p>
    <w:p>
      <w:pPr>
        <w:pStyle w:val="Script"/>
      </w:pPr>
      <w:r>
        <w:t>One distinction is essential. A lower drug acquisition cost does not automatically mean a lower patient copay. Eligible patients can have insurance, and assistance policies differ across providers. Patients can ask their care team or pharmacy about financial assistance. Leaders should be able to explain how program resources improve affordability, access, and services in their community.</w:t>
      </w:r>
    </w:p>
    <w:p>
      <w:pPr>
        <w:pStyle w:val="Script"/>
      </w:pPr>
      <w:r>
        <w:t>As of September sixth, twenty twenty-six, federal policy is changing. A revised rebate pilot would replace upfront discounts with later rebates for selected Medicare-negotiated drugs, starting in twenty twenty-seven if manufacturer plans are approved. Medicare has also proposed lower payments for certain hospital outpatient drugs purchased through three forty B. These developments raise questions about patient costs, cash flow and the resources available for care.</w:t>
      </w:r>
    </w:p>
    <w:p>
      <w:pPr>
        <w:pStyle w:val="Script"/>
      </w:pPr>
      <w:r>
        <w:t>Protecting this program and demanding accountability belong together. Track how resources support medication access and services. Show who benefits. Follow eligibility rules and prevent prohibited duplicate discounts. Evaluate reforms by their effects on patients, provider capacity, and public spending. The goal is a stronger safety net with benefits people can see.</w:t>
      </w:r>
    </w:p>
    <w:p>
      <w:pPr>
        <w:pStyle w:val="Script"/>
      </w:pPr>
      <w:r>
        <w:t>Three forty B can be an essential resource for providers serving communities with limited access to care. Its promise is greater access to medicines and services. Preserving that promise means protecting the safety-net mission, demonstrating patient benefit, and keeping patients at the center of every policy decision.</w:t>
      </w:r>
    </w:p>
    <w:p>
      <w:pPr>
        <w:pStyle w:val="Heading1"/>
        <w:pageBreakBefore/>
        <w:spacing w:before="0"/>
      </w:pPr>
      <w:r>
        <w:t>Evidence and the current policy debate</w:t>
      </w:r>
    </w:p>
    <w:p>
      <w:pPr>
        <w:pStyle w:val="Heading2"/>
      </w:pPr>
      <w:r>
        <w:t>Evidence supports a role, with important limits</w:t>
      </w:r>
    </w:p>
    <w:p>
      <w:pPr/>
      <w:r>
        <w:t>Watts and colleagues (2024) analyzed 1,468 federally qualified health centers during 2004–2022. More registered 340B locations were associated with greater subsequent service to underserved groups and more preventive services. Registered locations served as a proxy for financial benefit; the study did not directly measure all 340B revenue. Unmeasured differences between centers could help explain the associations, so the findings should not be presented as proof of causation.</w:t>
      </w:r>
    </w:p>
    <w:p>
      <w:pPr/>
      <w:r>
        <w:t>Owsley and colleagues (2024) examined hospital participation using a difference-in-differences design. Public hospitals entering 340B showed increases in service lines classified as unprofitable; nonprofit hospitals did not show a meaningful corresponding change. Selection and sample limitations remain. These results concern service availability, not proof that every participating hospital improves clinical outcomes or would close without 340B.</w:t>
      </w:r>
    </w:p>
    <w:p>
      <w:pPr/>
      <w:r>
        <w:t>GAO’s 2018 review found differing discount practices among selected providers using contract pharmacies. Its sample was not nationally representative. GAO’s later oversight testimony identified continuing weaknesses in eligibility and duplicate-discount controls (GAO, 2025). Those findings support patient-facing transparency and reliable oversight, without justifying a universal claim that providers either pass through or withhold all benefits.</w:t>
      </w:r>
    </w:p>
    <w:p>
      <w:pPr>
        <w:pStyle w:val="Heading2"/>
      </w:pPr>
      <w:r>
        <w:t>Two separate policy developments</w:t>
      </w:r>
    </w:p>
    <w:p>
      <w:pPr/>
      <w:r>
        <w:t>As of September 6, 2026, HRSA’s revised rebate pilot is approval-dependent and planned for January 1, 2027. It concerns selected Medicare-negotiated drugs, not the entire program. Approved manufacturers would provide rebates after purchase instead of upfront discounts. Approvals, if any, are scheduled by September 24. The design requires payment within ten calendar days of a complete claim; actual cash-flow effects remain uncertain. This revised pilot supersedes the withdrawn 2025 effort (HRSA, 2026c).</w:t>
      </w:r>
    </w:p>
    <w:p>
      <w:pPr/>
      <w:r>
        <w:t>Separately, CMS has proposed reducing Medicare payment for certain 340B-acquired hospital outpatient drugs in its 2027 outpatient payment rule. This remains a proposal, with exceptions. CMS anticipates lower drug cost-sharing, while budget-neutral redistribution would increase payment for other outpatient services. Drug cost-sharing estimates should therefore not be described as net savings across all care. Purchasing discounts and Medicare reimbursement are different policy mechanisms (CMS, 2026).</w:t>
      </w:r>
    </w:p>
    <w:p>
      <w:pPr>
        <w:pStyle w:val="Heading2"/>
      </w:pPr>
      <w:r>
        <w:t>An accountable safety-net mission</w:t>
      </w:r>
    </w:p>
    <w:p>
      <w:pPr/>
      <w:r>
        <w:t>Leaders can track medication assistance delivered, access for underserved patients, and support for underfunded services, alongside program costs and compliance. These are recommended management measures, not a validated outcome set. Reforms should be judged by patient affordability, provider capacity, and public spending; 340B should not be described as having no taxpayer cost (CBO, 2025).</w:t>
      </w:r>
    </w:p>
    <w:p>
      <w:pPr>
        <w:pStyle w:val="Productionnote"/>
      </w:pPr>
      <w:r>
        <w:t>Production note: AI-generated narration and illustrative generated scenes support this educational video. The people and settings do not document actual 340B beneficiaries or institutional outcomes. Policy status is dated; proposals may change.</w:t>
      </w:r>
    </w:p>
    <w:p>
      <w:pPr>
        <w:pStyle w:val="Heading1"/>
        <w:pageBreakBefore/>
        <w:spacing w:before="0"/>
      </w:pPr>
      <w:r>
        <w:t>Selected references</w:t>
      </w:r>
    </w:p>
    <w:p>
      <w:pPr>
        <w:pStyle w:val="Metadata"/>
      </w:pPr>
      <w:r>
        <w:t>Primary policy sources, government analyses, and peer-reviewed research. Accessed September 6, 2026.</w:t>
      </w:r>
    </w:p>
    <w:p>
      <w:pPr>
        <w:pStyle w:val="Reference"/>
      </w:pPr>
      <w:r>
        <w:t xml:space="preserve">Health Resources and Services Administration. (2026a). </w:t>
      </w:r>
      <w:r>
        <w:rPr>
          <w:i/>
        </w:rPr>
        <w:t>340B Drug Pricing Program.</w:t>
      </w:r>
      <w:r>
        <w:t xml:space="preserve"> </w:t>
      </w:r>
      <w:hyperlink r:id="rId11">
        <w:r>
          <w:rPr>
            <w:color w:val="187D83"/>
          </w:rPr>
          <w:t>hrsa.gov/opa</w:t>
        </w:r>
      </w:hyperlink>
    </w:p>
    <w:p>
      <w:pPr>
        <w:pStyle w:val="Reference"/>
      </w:pPr>
      <w:r>
        <w:t xml:space="preserve">Health Resources and Services Administration. (2026b). </w:t>
      </w:r>
      <w:r>
        <w:rPr>
          <w:i/>
        </w:rPr>
        <w:t>340B eligibility.</w:t>
      </w:r>
      <w:r>
        <w:t xml:space="preserve"> </w:t>
      </w:r>
      <w:hyperlink r:id="rId12">
        <w:r>
          <w:rPr>
            <w:color w:val="187D83"/>
          </w:rPr>
          <w:t>HRSA eligibility and registration</w:t>
        </w:r>
      </w:hyperlink>
    </w:p>
    <w:p>
      <w:pPr>
        <w:pStyle w:val="Reference"/>
      </w:pPr>
      <w:r>
        <w:t xml:space="preserve">Health Resources and Services Administration. (2026c, August 3). </w:t>
      </w:r>
      <w:r>
        <w:rPr>
          <w:i/>
        </w:rPr>
        <w:t>Notice regarding 340B Rebate Model Pilot Program. Federal Register, 91, 48883. Document 2026-15633.</w:t>
      </w:r>
      <w:r>
        <w:t xml:space="preserve"> </w:t>
      </w:r>
      <w:hyperlink r:id="rId13">
        <w:r>
          <w:rPr>
            <w:color w:val="187D83"/>
          </w:rPr>
          <w:t>Official Federal Register notice</w:t>
        </w:r>
      </w:hyperlink>
    </w:p>
    <w:p>
      <w:pPr>
        <w:pStyle w:val="Reference"/>
      </w:pPr>
      <w:r>
        <w:t xml:space="preserve">Centers for Medicare &amp; Medicaid Services. (2026, July 2). </w:t>
      </w:r>
      <w:r>
        <w:rPr>
          <w:i/>
        </w:rPr>
        <w:t>Calendar year 2027 Hospital Outpatient Prospective Payment System (OPPS) &amp; Ambulatory Surgical Center (ASC) proposed rule.</w:t>
      </w:r>
      <w:r>
        <w:t xml:space="preserve"> </w:t>
      </w:r>
      <w:hyperlink r:id="rId14">
        <w:r>
          <w:rPr>
            <w:color w:val="187D83"/>
          </w:rPr>
          <w:t>CMS proposed-rule fact sheet</w:t>
        </w:r>
      </w:hyperlink>
    </w:p>
    <w:p>
      <w:pPr>
        <w:pStyle w:val="Reference"/>
      </w:pPr>
      <w:r>
        <w:t xml:space="preserve">Watts, E., McGlave, C., Quinones, N., Bruno, J. P., &amp; Nikpay, S. (2024). </w:t>
      </w:r>
      <w:r>
        <w:t xml:space="preserve">340B participation and safety net engagement among federally qualified health centers. </w:t>
      </w:r>
      <w:r>
        <w:rPr>
          <w:i/>
        </w:rPr>
        <w:t xml:space="preserve">JAMA Health Forum, 5(10), e243360. </w:t>
      </w:r>
      <w:hyperlink r:id="rId15">
        <w:r>
          <w:rPr>
            <w:color w:val="187D83"/>
          </w:rPr>
          <w:t>https://doi.org/10.1001/jamahealthforum.2024.3360</w:t>
        </w:r>
      </w:hyperlink>
    </w:p>
    <w:p>
      <w:pPr>
        <w:pStyle w:val="Reference"/>
      </w:pPr>
      <w:r>
        <w:t xml:space="preserve">Owsley, K. M., Hasnain-Wynia, R., Rooks, R. N., Tung, G. J., Mays, G. P., &amp; Lindrooth, R. C. (2024). </w:t>
      </w:r>
      <w:r>
        <w:t xml:space="preserve">US hospital service availability and new 340B program participation. </w:t>
      </w:r>
      <w:r>
        <w:rPr>
          <w:i/>
        </w:rPr>
        <w:t xml:space="preserve">JAMA Health Forum, 5(5), e240833. </w:t>
      </w:r>
      <w:hyperlink r:id="rId16">
        <w:r>
          <w:rPr>
            <w:color w:val="187D83"/>
          </w:rPr>
          <w:t>https://doi.org/10.1001/jamahealthforum.2024.0833</w:t>
        </w:r>
      </w:hyperlink>
    </w:p>
    <w:p>
      <w:pPr>
        <w:pStyle w:val="Reference"/>
      </w:pPr>
      <w:r>
        <w:t xml:space="preserve">U.S. Government Accountability Office (2018). </w:t>
      </w:r>
      <w:r>
        <w:t xml:space="preserve">Drug discount program: Federal oversight of compliance at 340B contract pharmacies needs improvement. </w:t>
      </w:r>
      <w:r>
        <w:rPr>
          <w:i w:val="0"/>
        </w:rPr>
        <w:t xml:space="preserve">(GAO-18-480). </w:t>
      </w:r>
      <w:hyperlink r:id="rId17">
        <w:r>
          <w:rPr>
            <w:color w:val="187D83"/>
          </w:rPr>
          <w:t>GAO-18-480</w:t>
        </w:r>
      </w:hyperlink>
    </w:p>
    <w:p>
      <w:pPr>
        <w:pStyle w:val="Reference"/>
      </w:pPr>
      <w:r>
        <w:t xml:space="preserve">U.S. Government Accountability Office (2025). </w:t>
      </w:r>
      <w:r>
        <w:t xml:space="preserve">340B drug discount program: Agency oversight has improved, but actions needed to address weaknesses. </w:t>
      </w:r>
      <w:r>
        <w:rPr>
          <w:i w:val="0"/>
        </w:rPr>
        <w:t xml:space="preserve">(GAO-26-108784). </w:t>
      </w:r>
      <w:hyperlink r:id="rId18">
        <w:r>
          <w:rPr>
            <w:color w:val="187D83"/>
          </w:rPr>
          <w:t>GAO-26-108784</w:t>
        </w:r>
      </w:hyperlink>
    </w:p>
    <w:p>
      <w:pPr>
        <w:pStyle w:val="Reference"/>
      </w:pPr>
      <w:r>
        <w:t xml:space="preserve">Congressional Budget Office (2025). </w:t>
      </w:r>
      <w:r>
        <w:t xml:space="preserve">Growth in the 340B Drug Pricing Program. </w:t>
      </w:r>
      <w:r>
        <w:rPr>
          <w:i w:val="0"/>
        </w:rPr>
      </w:r>
      <w:hyperlink r:id="rId19">
        <w:r>
          <w:rPr>
            <w:color w:val="187D83"/>
          </w:rPr>
          <w:t>CBO report</w:t>
        </w:r>
      </w:hyperlink>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Kelly Emrick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HEALTHCARE LEADERSHIP  /  EXECUTIVE COMPANION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pPr>
    <w:rPr>
      <w:rFonts w:ascii="Calibri" w:hAnsi="Calibri"/>
      <w:b w:val="0"/>
      <w:color w:val="253746"/>
      <w:sz w:val="22"/>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before="0"/>
    </w:pPr>
    <w:rPr>
      <w:rFonts w:ascii="Calibri" w:hAnsi="Calibri"/>
      <w:b w:val="0"/>
      <w:color w:val="5F6F78"/>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before="0"/>
    </w:pPr>
    <w:rPr>
      <w:rFonts w:ascii="Calibri" w:hAnsi="Calibri"/>
      <w:b w:val="0"/>
      <w:color w:val="5F6F78"/>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outlineLvl w:val="0"/>
    </w:pPr>
    <w:rPr>
      <w:rFonts w:asciiTheme="majorHAnsi" w:eastAsiaTheme="majorEastAsia" w:hAnsiTheme="majorHAnsi" w:cstheme="majorBidi" w:ascii="Calibri" w:hAnsi="Calibri"/>
      <w:b/>
      <w:bCs/>
      <w:color w:val="183449"/>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outlineLvl w:val="1"/>
    </w:pPr>
    <w:rPr>
      <w:rFonts w:asciiTheme="majorHAnsi" w:eastAsiaTheme="majorEastAsia" w:hAnsiTheme="majorHAnsi" w:cstheme="majorBidi" w:ascii="Calibri" w:hAnsi="Calibri"/>
      <w:b/>
      <w:bCs/>
      <w:color w:val="187D83"/>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outlineLvl w:val="2"/>
    </w:pPr>
    <w:rPr>
      <w:rFonts w:asciiTheme="majorHAnsi" w:eastAsiaTheme="majorEastAsia" w:hAnsiTheme="majorHAnsi" w:cstheme="majorBidi" w:ascii="Calibri" w:hAnsi="Calibri"/>
      <w:b/>
      <w:bCs/>
      <w:color w:val="18344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40" w:lineRule="auto" w:before="0"/>
      <w:contextualSpacing/>
    </w:pPr>
    <w:rPr>
      <w:rFonts w:asciiTheme="majorHAnsi" w:eastAsiaTheme="majorEastAsia" w:hAnsiTheme="majorHAnsi" w:cstheme="majorBidi" w:ascii="Calibri" w:hAnsi="Calibri"/>
      <w:b/>
      <w:color w:val="18344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180" w:line="264" w:lineRule="auto"/>
    </w:pPr>
    <w:rPr>
      <w:rFonts w:asciiTheme="majorHAnsi" w:eastAsiaTheme="majorEastAsia" w:hAnsiTheme="majorHAnsi" w:cstheme="majorBidi" w:ascii="Calibri" w:hAnsi="Calibri"/>
      <w:b w:val="0"/>
      <w:i w:val="0"/>
      <w:iCs/>
      <w:color w:val="5F6F78"/>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40" w:line="240" w:lineRule="auto"/>
    </w:pPr>
    <w:rPr>
      <w:rFonts w:ascii="Calibri" w:hAnsi="Calibri"/>
      <w:b/>
      <w:color w:val="187D83"/>
      <w:sz w:val="18"/>
    </w:rPr>
  </w:style>
  <w:style w:type="paragraph" w:customStyle="1" w:styleId="Metadata">
    <w:name w:val="Metadata"/>
    <w:pPr>
      <w:widowControl/>
      <w:spacing w:before="0" w:after="80" w:line="252" w:lineRule="auto"/>
    </w:pPr>
    <w:rPr>
      <w:rFonts w:ascii="Calibri" w:hAnsi="Calibri"/>
      <w:b w:val="0"/>
      <w:color w:val="5F6F78"/>
      <w:sz w:val="20"/>
    </w:rPr>
  </w:style>
  <w:style w:type="paragraph" w:customStyle="1" w:styleId="Script">
    <w:name w:val="Script"/>
    <w:pPr>
      <w:widowControl/>
      <w:spacing w:before="0" w:after="180" w:line="264" w:lineRule="auto"/>
    </w:pPr>
    <w:rPr>
      <w:rFonts w:ascii="Calibri" w:hAnsi="Calibri"/>
      <w:b w:val="0"/>
      <w:color w:val="253746"/>
      <w:sz w:val="22"/>
    </w:rPr>
  </w:style>
  <w:style w:type="paragraph" w:customStyle="1" w:styleId="Reference">
    <w:name w:val="Reference"/>
    <w:pPr>
      <w:widowControl/>
      <w:spacing w:before="0" w:after="200" w:line="252" w:lineRule="auto"/>
      <w:ind w:left="360" w:hanging="360"/>
    </w:pPr>
    <w:rPr>
      <w:rFonts w:ascii="Calibri" w:hAnsi="Calibri"/>
      <w:b w:val="0"/>
      <w:color w:val="253746"/>
      <w:sz w:val="20"/>
    </w:rPr>
  </w:style>
  <w:style w:type="paragraph" w:customStyle="1" w:styleId="Productionnote">
    <w:name w:val="Production note"/>
    <w:pPr>
      <w:widowControl/>
      <w:spacing w:before="0" w:after="120" w:line="264" w:lineRule="auto"/>
    </w:pPr>
    <w:rPr>
      <w:rFonts w:ascii="Calibri" w:hAnsi="Calibri"/>
      <w:b w:val="0"/>
      <w:color w:val="5F6F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hrsa.gov/opa" TargetMode="External"/><Relationship Id="rId12" Type="http://schemas.openxmlformats.org/officeDocument/2006/relationships/hyperlink" Target="https://www.hrsa.gov/opa/eligibility-and-registration" TargetMode="External"/><Relationship Id="rId13" Type="http://schemas.openxmlformats.org/officeDocument/2006/relationships/hyperlink" Target="https://www.federalregister.gov/documents/2026/08/03/2026-15633/notice-regarding-340b-rebate-model-pilot-program" TargetMode="External"/><Relationship Id="rId14" Type="http://schemas.openxmlformats.org/officeDocument/2006/relationships/hyperlink" Target="https://www.cms.gov/newsroom/fact-sheets/calendar-year-2027-hospital-outpatient-prospective-payment-system-opps-ambulatory-surgical-center" TargetMode="External"/><Relationship Id="rId15" Type="http://schemas.openxmlformats.org/officeDocument/2006/relationships/hyperlink" Target="https://doi.org/10.1001/jamahealthforum.2024.3360" TargetMode="External"/><Relationship Id="rId16" Type="http://schemas.openxmlformats.org/officeDocument/2006/relationships/hyperlink" Target="https://doi.org/10.1001/jamahealthforum.2024.0833" TargetMode="External"/><Relationship Id="rId17" Type="http://schemas.openxmlformats.org/officeDocument/2006/relationships/hyperlink" Target="https://www.gao.gov/products/gao-18-480" TargetMode="External"/><Relationship Id="rId18" Type="http://schemas.openxmlformats.org/officeDocument/2006/relationships/hyperlink" Target="https://www.gao.gov/products/gao-26-108784" TargetMode="External"/><Relationship Id="rId19" Type="http://schemas.openxmlformats.org/officeDocument/2006/relationships/hyperlink" Target="https://www.cbo.gov/publication/61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340B Drug Discount Program</dc:title>
  <dc:subject>Final video narration and executive evidence brief</dc:subject>
  <dc:creator>Kelly Emrick</dc:creator>
  <cp:keywords>340B; safety net; drug pricing; patient access; healthcare policy</cp:keywords>
  <dc:description>generated by python-docx</dc:description>
  <cp:lastModifiedBy/>
  <cp:revision>1</cp:revision>
  <dcterms:created xsi:type="dcterms:W3CDTF">2013-12-23T23:15:00Z</dcterms:created>
  <dcterms:modified xsi:type="dcterms:W3CDTF">2013-12-23T23:15:00Z</dcterms:modified>
  <cp:category/>
</cp:coreProperties>
</file>